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Tools for developing a hunch: Interpreting the evidence </w:t>
      </w: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Use this table to ensure you develop multiple interpretations of the evidence and multiple hunches. When making the </w:t>
      </w:r>
      <w:r>
        <w:rPr>
          <w:rStyle w:val="None A"/>
          <w:rtl w:val="0"/>
        </w:rPr>
        <w:t>‘</w:t>
      </w:r>
      <w:r>
        <w:rPr>
          <w:rStyle w:val="None A"/>
          <w:rtl w:val="0"/>
        </w:rPr>
        <w:t>if, then</w:t>
      </w:r>
      <w:r>
        <w:rPr>
          <w:rStyle w:val="None A"/>
          <w:rtl w:val="0"/>
        </w:rPr>
        <w:t xml:space="preserve">’ </w:t>
      </w:r>
      <w:r>
        <w:rPr>
          <w:rStyle w:val="None A"/>
          <w:rtl w:val="0"/>
        </w:rPr>
        <w:t xml:space="preserve">statement always frame it as an action </w:t>
      </w:r>
      <w:r>
        <w:rPr>
          <w:rStyle w:val="None"/>
          <w:b w:val="1"/>
          <w:bCs w:val="1"/>
          <w:rtl w:val="0"/>
          <w:lang w:val="en-US"/>
        </w:rPr>
        <w:t>you</w:t>
      </w:r>
      <w:r>
        <w:rPr>
          <w:rStyle w:val="None A"/>
          <w:rtl w:val="0"/>
        </w:rPr>
        <w:t xml:space="preserve"> personally will take. Below the template is a worked example.</w:t>
      </w:r>
    </w:p>
    <w:tbl>
      <w:tblPr>
        <w:tblW w:w="144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2693"/>
        <w:gridCol w:w="2977"/>
        <w:gridCol w:w="2551"/>
        <w:gridCol w:w="4252"/>
      </w:tblGrid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Issue/area of focus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Hunches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If/then</w:t>
            </w: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statement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Evidence needed to test this 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Further information / professional learning to be sought</w:t>
            </w:r>
          </w:p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Style w:val="None A"/>
        </w:rPr>
      </w:pPr>
    </w:p>
    <w:p>
      <w:pPr>
        <w:pStyle w:val="Body A"/>
        <w:widowControl w:val="0"/>
        <w:spacing w:line="240" w:lineRule="auto"/>
        <w:rPr>
          <w:rStyle w:val="None A"/>
        </w:rPr>
      </w:pPr>
    </w:p>
    <w:p>
      <w:pPr>
        <w:pStyle w:val="Body A"/>
      </w:pPr>
    </w:p>
    <w:tbl>
      <w:tblPr>
        <w:tblW w:w="144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2268"/>
        <w:gridCol w:w="3430"/>
        <w:gridCol w:w="2835"/>
        <w:gridCol w:w="4252"/>
      </w:tblGrid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Issue/area of focus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Hunches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If ... then... statement(s)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Evidence needed to test this 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Further information / professional learning to be sought</w:t>
            </w:r>
          </w:p>
        </w:tc>
      </w:tr>
      <w:tr>
        <w:tblPrEx>
          <w:shd w:val="clear" w:color="auto" w:fill="ced7e7"/>
        </w:tblPrEx>
        <w:trPr>
          <w:trHeight w:val="3657" w:hRule="atLeast"/>
        </w:trPr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Questioning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Closed questioning is not helping me to build meaningful exchanges with children. </w:t>
            </w:r>
          </w:p>
          <w:p>
            <w:pPr>
              <w:pStyle w:val="Body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 am not getting a full enough understanding of what children are doing or thinking before I launch into questioning.</w:t>
            </w:r>
            <w:r>
              <w:rPr>
                <w:rStyle w:val="None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  <w:rPr>
                <w:rStyle w:val="None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If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ask open-ended questions,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then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I will have longer and more sustained conversations with children.</w:t>
            </w:r>
          </w:p>
          <w:p>
            <w:pPr>
              <w:pStyle w:val="Body A"/>
              <w:spacing w:after="0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 xml:space="preserve">If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 wait and observe for 5 minutes before interacting with children, </w:t>
            </w: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then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I might be able to pose more meaningful and appropriate questions that extend children.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Video observations of my practice. Transcribe question and answer sequences and compare with previous video observation. Use number and length of children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s conversational turns as a measure of effectiveness of these strategies.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Observe other teachers questioning techniques. Collect lists of open-ended and closed questions.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Read about questioning and sustained shared thinking as a teaching technique on The Education Hub website.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Learn about and practice observation skills.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Learn more about individual children and their strengths and interests.  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00"/>
      </w:tabs>
      <w:spacing w:after="0" w:line="240" w:lineRule="auto"/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The Education Hub 2021</w:t>
    </w:r>
  </w:p>
  <w:p>
    <w:pPr>
      <w:pStyle w:val="Body A"/>
      <w:tabs>
        <w:tab w:val="right" w:pos="9000"/>
      </w:tabs>
      <w:spacing w:after="0" w:line="240" w:lineRule="auto"/>
      <w:rPr>
        <w:rFonts w:ascii="Arial" w:cs="Arial" w:hAnsi="Arial" w:eastAsia="Arial"/>
        <w:outline w:val="0"/>
        <w:color w:val="535353"/>
        <w:sz w:val="16"/>
        <w:szCs w:val="16"/>
        <w:u w:color="535353"/>
        <w14:textFill>
          <w14:solidFill>
            <w14:srgbClr w14:val="535353"/>
          </w14:solidFill>
        </w14:textFill>
      </w:rPr>
    </w:pPr>
  </w:p>
  <w:p>
    <w:pPr>
      <w:pStyle w:val="Body A"/>
      <w:tabs>
        <w:tab w:val="right" w:pos="9000"/>
      </w:tabs>
      <w:spacing w:after="0" w:line="240" w:lineRule="auto"/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  <w:rFonts w:ascii="Arial" w:cs="Arial" w:hAnsi="Arial" w:eastAsia="Arial"/>
        <w:outline w:val="0"/>
        <w:color w:val="0000ff"/>
        <w:sz w:val="16"/>
        <w:szCs w:val="16"/>
        <w:u w:val="single" w:color="0000ff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6"/>
        <w:szCs w:val="16"/>
        <w:u w:val="single" w:color="0000ff"/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Arial" w:cs="Arial" w:hAnsi="Arial" w:eastAsia="Arial"/>
        <w:outline w:val="0"/>
        <w:color w:val="0000ff"/>
        <w:sz w:val="16"/>
        <w:szCs w:val="16"/>
        <w:u w:val="single" w:color="0000ff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enquiries@theeducationhub.org.nz</w:t>
    </w:r>
    <w:r>
      <w:rPr>
        <w:sz w:val="24"/>
        <w:szCs w:val="24"/>
      </w:rPr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:lang w:val="en-US"/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8696325</wp:posOffset>
          </wp:positionH>
          <wp:positionV relativeFrom="page">
            <wp:posOffset>163195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None A">
    <w:name w:val="None A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