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6"/>
          <w:szCs w:val="36"/>
        </w:rPr>
      </w:pPr>
      <w:r>
        <w:rPr>
          <w:rStyle w:val="None"/>
          <w:rFonts w:ascii="Roboto" w:hAnsi="Roboto"/>
          <w:b w:val="1"/>
          <w:bCs w:val="1"/>
          <w:sz w:val="36"/>
          <w:szCs w:val="36"/>
          <w:rtl w:val="0"/>
          <w:lang w:val="en-US"/>
        </w:rPr>
        <w:t>Tools for scanning: Observation template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Ask a colleague or critical friend to use this table to record their observations of students in your class.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 xml:space="preserve">Student name_______________________ </w:t>
        <w:tab/>
        <w:tab/>
        <w:tab/>
        <w:tab/>
        <w:tab/>
        <w:t>Learning area/outcome__________________________________________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5"/>
        <w:gridCol w:w="12793"/>
      </w:tblGrid>
      <w:tr>
        <w:tblPrEx>
          <w:shd w:val="clear" w:color="auto" w:fill="ced7e7"/>
        </w:tblPrEx>
        <w:trPr>
          <w:trHeight w:val="1973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ind w:left="113" w:right="113" w:firstLine="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Observe</w:t>
            </w:r>
          </w:p>
        </w:tc>
        <w:tc>
          <w:tcPr>
            <w:tcW w:type="dxa" w:w="12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What does this student say and do?</w:t>
            </w: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Infer</w:t>
            </w:r>
          </w:p>
        </w:tc>
        <w:tc>
          <w:tcPr>
            <w:tcW w:type="dxa" w:w="12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What might this student be thinking and feeling?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3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 this student making the desired progress?</w:t>
            </w:r>
            <w:r>
              <w:rPr>
                <w:rStyle w:val="None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3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learning needs do you think this student has?</w:t>
            </w:r>
            <w:r>
              <w:rPr>
                <w:rStyle w:val="None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3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support might this student need? What might be interfering with or hindering their learning?</w:t>
            </w:r>
            <w:r>
              <w:rPr>
                <w:rStyle w:val="None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Roboto" w:cs="Roboto" w:hAnsi="Roboto" w:eastAsia="Roboto"/>
        </w:rPr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right"/>
      <w:rPr>
        <w:rtl w:val="0"/>
      </w:rPr>
    </w:pPr>
    <w:r>
      <w:rPr>
        <w:u w:color="000000"/>
        <w:rtl w:val="0"/>
        <w14:textOutline w14:w="12700" w14:cap="flat">
          <w14:noFill/>
          <w14:miter w14:lim="400000"/>
        </w14:textOutline>
      </w:rP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