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6"/>
          <w:szCs w:val="36"/>
        </w:rPr>
      </w:pPr>
      <w:r>
        <w:rPr>
          <w:rStyle w:val="None"/>
          <w:rFonts w:ascii="Roboto" w:hAnsi="Roboto"/>
          <w:b w:val="1"/>
          <w:bCs w:val="1"/>
          <w:sz w:val="36"/>
          <w:szCs w:val="36"/>
          <w:rtl w:val="0"/>
          <w:lang w:val="en-US"/>
        </w:rPr>
        <w:t>Tools for scanning: Initial scan</w:t>
      </w:r>
    </w:p>
    <w:p>
      <w:pPr>
        <w:pStyle w:val="Body"/>
        <w:rPr>
          <w:rFonts w:ascii="Roboto" w:cs="Roboto" w:hAnsi="Roboto" w:eastAsia="Roboto"/>
          <w:sz w:val="22"/>
          <w:szCs w:val="22"/>
          <w:lang w:val="en-US"/>
        </w:rPr>
      </w:pPr>
    </w:p>
    <w:p>
      <w:pPr>
        <w:pStyle w:val="Body"/>
        <w:rPr>
          <w:rStyle w:val="None"/>
          <w:rFonts w:ascii="Roboto" w:cs="Roboto" w:hAnsi="Roboto" w:eastAsia="Roboto"/>
          <w:sz w:val="22"/>
          <w:szCs w:val="22"/>
        </w:rPr>
      </w:pPr>
      <w:r>
        <w:rPr>
          <w:rStyle w:val="None"/>
          <w:rFonts w:ascii="Roboto" w:hAnsi="Roboto"/>
          <w:sz w:val="22"/>
          <w:szCs w:val="22"/>
          <w:rtl w:val="0"/>
          <w:lang w:val="en-US"/>
        </w:rPr>
        <w:t xml:space="preserve">Explore what is happening for students in your classroom </w:t>
        <w:tab/>
        <w:tab/>
        <w:tab/>
        <w:tab/>
        <w:tab/>
        <w:tab/>
      </w:r>
    </w:p>
    <w:p>
      <w:pPr>
        <w:pStyle w:val="Body"/>
      </w:pP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5"/>
        <w:gridCol w:w="2937"/>
        <w:gridCol w:w="3215"/>
        <w:gridCol w:w="5031"/>
      </w:tblGrid>
      <w:tr>
        <w:tblPrEx>
          <w:shd w:val="clear" w:color="auto" w:fill="ced7e7"/>
        </w:tblPrEx>
        <w:trPr>
          <w:trHeight w:val="290" w:hRule="exact"/>
        </w:trPr>
        <w:tc>
          <w:tcPr>
            <w:tcW w:type="dxa" w:w="139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Learning area:</w:t>
            </w:r>
          </w:p>
        </w:tc>
      </w:tr>
      <w:tr>
        <w:tblPrEx>
          <w:shd w:val="clear" w:color="auto" w:fill="ced7e7"/>
        </w:tblPrEx>
        <w:trPr>
          <w:trHeight w:val="2250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Roboto" w:hAnsi="Roboto"/>
                <w:sz w:val="22"/>
                <w:szCs w:val="22"/>
                <w:rtl w:val="0"/>
              </w:rPr>
              <w:t>Where are students in their learning? How do they compare to desirable outcomes for their level in NZ curriculum? Include cognitive, physical and socio-emotional learning.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Desired achievement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Current achievement                                                   </w:t>
            </w: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5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Evidence (and counter-evidence)</w:t>
            </w:r>
            <w:r>
              <w:rPr>
                <w:rFonts w:ascii="Roboto" w:cs="Roboto" w:hAnsi="Roboto" w:eastAsia="Roboto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1904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b w:val="0"/>
                <w:bCs w:val="0"/>
                <w:sz w:val="22"/>
                <w:szCs w:val="22"/>
                <w:rtl w:val="0"/>
                <w:lang w:val="en-US"/>
              </w:rPr>
              <w:t>What learning processes do students use? (</w:t>
            </w:r>
            <w:r>
              <w:rPr>
                <w:rStyle w:val="None"/>
                <w:rFonts w:ascii="Roboto" w:hAnsi="Roboto"/>
                <w:b w:val="0"/>
                <w:bCs w:val="0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Style w:val="None"/>
                <w:rFonts w:ascii="Roboto" w:hAnsi="Roboto"/>
                <w:b w:val="0"/>
                <w:bCs w:val="0"/>
                <w:sz w:val="22"/>
                <w:szCs w:val="22"/>
                <w:rtl w:val="0"/>
                <w:lang w:val="en-US"/>
              </w:rPr>
              <w:t>xamine what students say or demonstrate about their thinking during a task, and student products)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Desired learning processes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Observed learning processes                                      </w:t>
            </w: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5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Evidence (and counter-evidence)</w:t>
            </w: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626" w:hRule="exact"/>
        </w:trPr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What are student, family and community perspectives on this learning area?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Desired attitudes</w:t>
            </w: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 xml:space="preserve">Actual perspectives of students and families         </w:t>
            </w: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  <w:tc>
          <w:tcPr>
            <w:tcW w:type="dxa" w:w="5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</w:rPr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Evidence (and counter-evidence)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b w:val="1"/>
                <w:bCs w:val="1"/>
                <w:lang w:val="en-US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rFonts w:ascii="Roboto" w:cs="Roboto" w:hAnsi="Roboto" w:eastAsia="Roboto"/>
        </w:rPr>
      </w:pPr>
    </w:p>
    <w:p>
      <w:pPr>
        <w:pStyle w:val="Body"/>
      </w:pPr>
      <w:r>
        <w:rPr>
          <w:rStyle w:val="None"/>
          <w:rFonts w:ascii="Roboto" w:hAnsi="Roboto"/>
          <w:sz w:val="22"/>
          <w:szCs w:val="22"/>
          <w:rtl w:val="0"/>
          <w:lang w:val="en-US"/>
        </w:rPr>
        <w:t>Find someone to share this with: what do they notice in the data?</w: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